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biophysical environmental conditions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This vertical gradient shapes nearly every aspect of plant metabolism, demography, and ecology; however,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w:t>
      </w:r>
      <w:r>
        <w:t xml:space="preserve"> </w:t>
      </w:r>
      <w:hyperlink r:id="rId23">
        <w:r>
          <w:rPr>
            <w:rStyle w:val="Hyperlink"/>
          </w:rPr>
          <w:t xml:space="preserve">Issue #27</w:t>
        </w:r>
      </w:hyperlink>
      <w:r>
        <w:t xml:space="preserve">.</w:t>
      </w:r>
    </w:p>
    <w:bookmarkEnd w:id="24"/>
    <w:bookmarkStart w:id="247"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next section).</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via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relevant scale of variation is interspecific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1970;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65b2e60e52622d89329ab52db15bfa409f9b202"/>
    <w:p>
      <w:pPr>
        <w:pStyle w:val="Heading4"/>
      </w:pPr>
      <w:r>
        <w:t xml:space="preserve">(Biochemical and elemental traits, and isoprenes)</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(Zhou</w:t>
      </w:r>
      <w:r>
        <w:t xml:space="preserve"> </w:t>
      </w:r>
      <w:r>
        <w:rPr>
          <w:i/>
        </w:rPr>
        <w:t xml:space="preserve">et al.</w:t>
      </w:r>
      <w:r>
        <w:t xml:space="preserve">, 2015; Niinemets, 2016)</w:t>
      </w:r>
      <w:r>
        <w:t xml:space="preserve">.</w:t>
      </w:r>
      <w:r>
        <w:t xml:space="preserve"> </w:t>
      </w:r>
      <w:r>
        <w:rPr>
          <w:i/>
        </w:rPr>
        <w:t xml:space="preserve">In evergreen species,</w:t>
      </w:r>
      <w:r>
        <w:t xml:space="preserve"> </w:t>
      </w:r>
      <w:r>
        <w:t xml:space="preserve">sun leaves have shorter lifespans than shade leaves; upper canopy leaves are on average younger than subcanopy leaves, therefore operating closer to their photosynthetic optimum. However, because leaf turnover rates of sun leaves in the upper canopy are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Once leaves are fully expanded and mature, heat tolerance decreases with leaf age [</w:t>
      </w:r>
      <w:r>
        <w:t xml:space="preserve">Zhou</w:t>
      </w:r>
      <w:r>
        <w:t xml:space="preserve"> </w:t>
      </w:r>
      <w:r>
        <w:rPr>
          <w:i/>
        </w:rPr>
        <w:t xml:space="preserve">et al.</w:t>
      </w:r>
      <w:r>
        <w:t xml:space="preserve"> </w:t>
      </w:r>
      <w:r>
        <w:t xml:space="preserve">(2015)</w:t>
      </w:r>
      <w:r>
        <w:t xml:space="preserve">; REFS], as do</w:t>
      </w:r>
      <w:r>
        <w:t xml:space="preserve"> </w:t>
      </w:r>
      <m:oMath>
        <m:sSub>
          <m:e>
            <m:r>
              <m:t>g</m:t>
            </m:r>
          </m:e>
          <m:sub>
            <m:r>
              <m:t>s</m:t>
            </m:r>
          </m:sub>
        </m:sSub>
      </m:oMath>
      <w:r>
        <w:t xml:space="preserve"> </w:t>
      </w:r>
      <w:r>
        <w:t xml:space="preserve">and photosynthesis</w:t>
      </w:r>
      <w:r>
        <w:t xml:space="preserve"> </w:t>
      </w:r>
      <w:r>
        <w:t xml:space="preserve">(with a few exceptions, Niinemets, 2016)</w:t>
      </w:r>
      <w:r>
        <w:t xml:space="preserve">.</w:t>
      </w:r>
      <w:r>
        <w:t xml:space="preserve"> </w:t>
      </w:r>
      <w:r>
        <w:t xml:space="preserve">Additionally, because older leaves reach maximum</w:t>
      </w:r>
      <w:r>
        <w:t xml:space="preserve"> </w:t>
      </w:r>
      <m:oMath>
        <m:sSub>
          <m:e>
            <m:r>
              <m:t>T</m:t>
            </m:r>
          </m:e>
          <m:sub>
            <m:r>
              <m:t>l</m:t>
            </m:r>
            <m:r>
              <m:t>e</m:t>
            </m:r>
            <m:r>
              <m:t>a</m:t>
            </m:r>
            <m:r>
              <m:t>f</m:t>
            </m:r>
          </m:sub>
        </m:sSub>
      </m:oMath>
      <w:r>
        <w:t xml:space="preserve"> </w:t>
      </w:r>
      <w:r>
        <w:t xml:space="preserve">sooner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 </w:t>
      </w:r>
      <w:r>
        <w:rPr>
          <w:b/>
        </w:rPr>
        <w:t xml:space="preserve">this needs some confirming by co-authors</w:t>
      </w:r>
      <w:r>
        <w:t xml:space="preserve">.</w:t>
      </w:r>
    </w:p>
    <w:p>
      <w:pPr>
        <w:pStyle w:val="BodyText"/>
      </w:pPr>
      <w:r>
        <w:t xml:space="preserve">The timing of seasonal leaf loss or gain is influenced by vertical microclimate gradients, and in turn can alter forest biophysical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w:t>
      </w:r>
      <w:r>
        <w:t xml:space="preserve"> </w:t>
      </w:r>
      <w:r>
        <w:t xml:space="preserve">Deciduousness in tropical forests is an adaptation to conserve water, and is more common in drier forests and in canopy species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Within tropical deciduous species, the fraction of deciduous individuals tends to increase across tree size classes, with understory individuals typically remaining evergreen</w:t>
      </w:r>
      <w:r>
        <w:t xml:space="preserve"> </w:t>
      </w:r>
      <w:r>
        <w:t xml:space="preserve">(Condit</w:t>
      </w:r>
      <w:r>
        <w:t xml:space="preserve"> </w:t>
      </w:r>
      <w:r>
        <w:rPr>
          <w:i/>
        </w:rPr>
        <w:t xml:space="preserve">et al.</w:t>
      </w:r>
      <w:r>
        <w:t xml:space="preserve">, 2000)</w:t>
      </w:r>
      <w:r>
        <w:t xml:space="preserve">.</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 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higher</w:t>
      </w:r>
      <w:r>
        <w:t xml:space="preserve"> </w:t>
      </w:r>
      <m:oMath>
        <m:sSub>
          <m:e>
            <m:r>
              <m:t>T</m:t>
            </m:r>
          </m:e>
          <m:sub>
            <m:r>
              <m:t>l</m:t>
            </m:r>
            <m:r>
              <m:t>e</m:t>
            </m:r>
            <m:r>
              <m:t>a</m:t>
            </m:r>
            <m:r>
              <m:t>f</m:t>
            </m:r>
          </m:sub>
        </m:sSub>
      </m:oMath>
      <w:r>
        <w:t xml:space="preserve">, perhaps due to higher RH</w:t>
      </w:r>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to rising</w:t>
      </w:r>
      <w:r>
        <w:t xml:space="preserve"> </w:t>
      </w:r>
      <m:oMath>
        <m:sSub>
          <m:e>
            <m:r>
              <m:t>T</m:t>
            </m:r>
          </m:e>
          <m:sub>
            <m:r>
              <m:t>a</m:t>
            </m:r>
            <m:r>
              <m:t>i</m:t>
            </m:r>
            <m:r>
              <m:t>r</m:t>
            </m:r>
          </m:sub>
        </m:sSub>
      </m:oMath>
      <w:r>
        <w:t xml:space="preserve"> </w:t>
      </w:r>
      <w:r>
        <w:t xml:space="preserve">than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Smith</w:t>
      </w:r>
      <w:r>
        <w:t xml:space="preserve"> </w:t>
      </w:r>
      <w:r>
        <w:rPr>
          <w:i/>
        </w:rPr>
        <w:t xml:space="preserve">et al.</w:t>
      </w:r>
      <w:r>
        <w:t xml:space="preserve">, 2020, temperate/boreal refs needed)</w:t>
      </w:r>
      <w:r>
        <w:t xml:space="preserve">, and eventually due to biochemical constraints</w:t>
      </w:r>
      <w:r>
        <w:t xml:space="preserve"> </w:t>
      </w:r>
      <w:r>
        <w:t xml:space="preserve">(Sage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temperature optimum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 Higher maximum temperatures, and</w:t>
      </w:r>
      <w:r>
        <w:t xml:space="preserve"> </w:t>
      </w:r>
      <m:oMath>
        <m:sSub>
          <m:e>
            <m:r>
              <m:t>g</m:t>
            </m:r>
          </m:e>
          <m:sub>
            <m:r>
              <m:t>s</m:t>
            </m:r>
          </m:sub>
        </m:sSub>
      </m:oMath>
      <w:r>
        <w:t xml:space="preserve"> </w:t>
      </w:r>
      <w:r>
        <w:t xml:space="preserve">are known to influence leaf thermal sensitivity</w:t>
      </w:r>
      <w:r>
        <w:t xml:space="preserve"> </w:t>
      </w:r>
      <w:r>
        <w:t xml:space="preserve">(Perez &amp; Feeley, 2020)</w:t>
      </w:r>
      <w:r>
        <w:t xml:space="preserve">, but exact mechanisms remain unclear.</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Because</w:t>
      </w:r>
      <w:r>
        <w:t xml:space="preserve"> </w:t>
      </w:r>
      <m:oMath>
        <m:sSub>
          <m:e>
            <m:r>
              <m:t>g</m:t>
            </m:r>
          </m:e>
          <m:sub>
            <m:r>
              <m:t>s</m:t>
            </m:r>
          </m:sub>
        </m:sSub>
      </m:oMath>
      <w:r>
        <w:t xml:space="preserve"> </w:t>
      </w:r>
      <w:r>
        <w:t xml:space="preserve">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 taller trees that occupy canopy positions in relatively dense-canopy forests tend to have greater reductions in whole-tree transpiration and photosynthesis during periods of high atmospheric demand - be these on time scale of hours, days, or seasons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high summer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this lower drought resistance of growth, larger trees also frequently exhibit lower resilience [</w:t>
      </w:r>
      <w:r>
        <w:t xml:space="preserve">McGregor</w:t>
      </w:r>
      <w:r>
        <w:t xml:space="preserve"> </w:t>
      </w:r>
      <w:r>
        <w:rPr>
          <w:i/>
        </w:rPr>
        <w:t xml:space="preserve">et al.</w:t>
      </w:r>
      <w:r>
        <w:t xml:space="preserve"> </w:t>
      </w:r>
      <w:r>
        <w:t xml:space="preserve">(2021)</w:t>
      </w:r>
      <w:r>
        <w:t xml:space="preserve">;</w:t>
      </w:r>
      <w:r>
        <w:t xml:space="preserve"> </w:t>
      </w:r>
      <w:r>
        <w:rPr>
          <w:b/>
        </w:rPr>
        <w:t xml:space="preserve">REF</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 ??E under still, humid conditions, resulting in above-optimal</w:t>
      </w:r>
      <w:r>
        <w:t xml:space="preserve"> </w:t>
      </w:r>
      <m:oMath>
        <m:sSub>
          <m:e>
            <m:r>
              <m:t>T</m:t>
            </m:r>
          </m:e>
          <m:sub>
            <m:r>
              <m:t>l</m:t>
            </m:r>
            <m:r>
              <m:t>e</m:t>
            </m:r>
            <m:r>
              <m:t>a</m:t>
            </m:r>
            <m:r>
              <m:t>f</m:t>
            </m:r>
          </m:sub>
        </m:sSub>
      </m:oMath>
      <w:r>
        <w:t xml:space="preserve"> </w:t>
      </w:r>
      <w:r>
        <w:t xml:space="preserve">(Fig. 3) and lower photosynthesis, increases nighttime respiratory carbon loss that disroportionately reduced carbon availability for growth among small trees accelerated asymmetric competition. Additional research is required to understand these mechanisms and to disentangle tree growth responses to hot-wet versus hot-dry conditions.</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6"/>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46" w:name="references"/>
    <w:p>
      <w:pPr>
        <w:pStyle w:val="Heading2"/>
      </w:pPr>
      <w:r>
        <w:t xml:space="preserve">References</w:t>
      </w:r>
    </w:p>
    <w:bookmarkStart w:id="245" w:name="refs"/>
    <w:bookmarkStart w:id="61"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1"/>
    <w:bookmarkStart w:id="62"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2"/>
    <w:bookmarkStart w:id="63"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3"/>
    <w:bookmarkStart w:id="64"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4"/>
    <w:bookmarkStart w:id="65"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5"/>
    <w:bookmarkStart w:id="6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6"/>
    <w:bookmarkStart w:id="6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7"/>
    <w:bookmarkStart w:id="68"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8"/>
    <w:bookmarkStart w:id="69"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69"/>
    <w:bookmarkStart w:id="7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0"/>
    <w:bookmarkStart w:id="71"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1"/>
    <w:bookmarkStart w:id="72"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2"/>
    <w:bookmarkStart w:id="73"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3"/>
    <w:bookmarkStart w:id="74"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4"/>
    <w:bookmarkStart w:id="75"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5"/>
    <w:bookmarkStart w:id="76"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6"/>
    <w:bookmarkStart w:id="77"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7"/>
    <w:bookmarkStart w:id="78"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8"/>
    <w:bookmarkStart w:id="79"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79"/>
    <w:bookmarkStart w:id="80"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1"/>
    <w:bookmarkStart w:id="82"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2"/>
    <w:bookmarkStart w:id="83"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3"/>
    <w:bookmarkStart w:id="84"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4"/>
    <w:bookmarkStart w:id="85"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5"/>
    <w:bookmarkStart w:id="86" w:name="X7914c5f8ed32dae272446bd55185493b096e4d0"/>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t xml:space="preserve">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4"/>
    <w:bookmarkStart w:id="105"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5"/>
    <w:bookmarkStart w:id="106"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6"/>
    <w:bookmarkStart w:id="107"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7"/>
    <w:bookmarkStart w:id="108"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8"/>
    <w:bookmarkStart w:id="109"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09"/>
    <w:bookmarkStart w:id="110"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0"/>
    <w:bookmarkStart w:id="111"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1"/>
    <w:bookmarkStart w:id="112"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2"/>
    <w:bookmarkStart w:id="113"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3"/>
    <w:bookmarkStart w:id="114"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4"/>
    <w:bookmarkStart w:id="115"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5"/>
    <w:bookmarkStart w:id="116"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6"/>
    <w:bookmarkStart w:id="117"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7"/>
    <w:bookmarkStart w:id="118"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8"/>
    <w:bookmarkStart w:id="119"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9"/>
    <w:bookmarkStart w:id="120"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0"/>
    <w:bookmarkStart w:id="121"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1"/>
    <w:bookmarkStart w:id="122"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2"/>
    <w:bookmarkStart w:id="123"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3"/>
    <w:bookmarkStart w:id="124"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4"/>
    <w:bookmarkStart w:id="125"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5"/>
    <w:bookmarkStart w:id="126"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6"/>
    <w:bookmarkStart w:id="127"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7"/>
    <w:bookmarkStart w:id="128"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8"/>
    <w:bookmarkStart w:id="129"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9"/>
    <w:bookmarkStart w:id="130"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0"/>
    <w:bookmarkStart w:id="131"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1"/>
    <w:bookmarkStart w:id="132"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2"/>
    <w:bookmarkStart w:id="133"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3"/>
    <w:bookmarkStart w:id="134"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1"/>
    <w:bookmarkStart w:id="142"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2"/>
    <w:bookmarkStart w:id="143"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3"/>
    <w:bookmarkStart w:id="144"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5"/>
    <w:bookmarkStart w:id="146"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6"/>
    <w:bookmarkStart w:id="147"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47"/>
    <w:bookmarkStart w:id="148"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48"/>
    <w:bookmarkStart w:id="149"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49"/>
    <w:bookmarkStart w:id="150"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0"/>
    <w:bookmarkStart w:id="151"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1"/>
    <w:bookmarkStart w:id="152"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2"/>
    <w:bookmarkStart w:id="153"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3"/>
    <w:bookmarkStart w:id="154"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4"/>
    <w:bookmarkStart w:id="15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5"/>
    <w:bookmarkStart w:id="156"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6"/>
    <w:bookmarkStart w:id="157"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57"/>
    <w:bookmarkStart w:id="158"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8"/>
    <w:bookmarkStart w:id="159"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59"/>
    <w:bookmarkStart w:id="160"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0"/>
    <w:bookmarkStart w:id="161"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1"/>
    <w:bookmarkStart w:id="162"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2"/>
    <w:bookmarkStart w:id="163"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3"/>
    <w:bookmarkStart w:id="164"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4"/>
    <w:bookmarkStart w:id="165"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5"/>
    <w:bookmarkStart w:id="166"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6"/>
    <w:bookmarkStart w:id="167"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7"/>
    <w:bookmarkStart w:id="168"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8"/>
    <w:bookmarkStart w:id="169"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9"/>
    <w:bookmarkStart w:id="170"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0"/>
    <w:bookmarkStart w:id="171"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1"/>
    <w:bookmarkStart w:id="172"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2"/>
    <w:bookmarkStart w:id="17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3"/>
    <w:bookmarkStart w:id="17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4"/>
    <w:bookmarkStart w:id="17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5"/>
    <w:bookmarkStart w:id="17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6"/>
    <w:bookmarkStart w:id="17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7"/>
    <w:bookmarkStart w:id="17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8"/>
    <w:bookmarkStart w:id="17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79"/>
    <w:bookmarkStart w:id="180"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0"/>
    <w:bookmarkStart w:id="181"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1"/>
    <w:bookmarkStart w:id="182"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2"/>
    <w:bookmarkStart w:id="183"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3"/>
    <w:bookmarkStart w:id="184"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4"/>
    <w:bookmarkStart w:id="185"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5"/>
    <w:bookmarkStart w:id="186"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6"/>
    <w:bookmarkStart w:id="187"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7"/>
    <w:bookmarkStart w:id="188"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88"/>
    <w:bookmarkStart w:id="189"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9"/>
    <w:bookmarkStart w:id="190"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0"/>
    <w:bookmarkStart w:id="191"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1"/>
    <w:bookmarkStart w:id="192"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2"/>
    <w:bookmarkStart w:id="193"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3"/>
    <w:bookmarkStart w:id="194"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4"/>
    <w:bookmarkStart w:id="195"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5"/>
    <w:bookmarkStart w:id="196"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6"/>
    <w:bookmarkStart w:id="197"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197"/>
    <w:bookmarkStart w:id="198"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8"/>
    <w:bookmarkStart w:id="199"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99"/>
    <w:bookmarkStart w:id="200"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0"/>
    <w:bookmarkStart w:id="201"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1"/>
    <w:bookmarkStart w:id="202"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2"/>
    <w:bookmarkStart w:id="203"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3"/>
    <w:bookmarkStart w:id="204"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4"/>
    <w:bookmarkStart w:id="205"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5"/>
    <w:bookmarkStart w:id="206"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06"/>
    <w:bookmarkStart w:id="207"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7"/>
    <w:bookmarkStart w:id="208"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8"/>
    <w:bookmarkStart w:id="209"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9"/>
    <w:bookmarkStart w:id="210"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0"/>
    <w:bookmarkStart w:id="211"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1"/>
    <w:bookmarkStart w:id="212"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2"/>
    <w:bookmarkStart w:id="213"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3"/>
    <w:bookmarkStart w:id="214"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4"/>
    <w:bookmarkStart w:id="215"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5"/>
    <w:bookmarkStart w:id="21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16"/>
    <w:bookmarkStart w:id="217"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17"/>
    <w:bookmarkStart w:id="218"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18"/>
    <w:bookmarkStart w:id="21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19"/>
    <w:bookmarkStart w:id="22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0"/>
    <w:bookmarkStart w:id="22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1"/>
    <w:bookmarkStart w:id="22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2"/>
    <w:bookmarkStart w:id="223"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3"/>
    <w:bookmarkStart w:id="224"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4"/>
    <w:bookmarkStart w:id="225"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5"/>
    <w:bookmarkStart w:id="226"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26"/>
    <w:bookmarkStart w:id="227"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27"/>
    <w:bookmarkStart w:id="228"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28"/>
    <w:bookmarkStart w:id="22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29"/>
    <w:bookmarkStart w:id="23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0"/>
    <w:bookmarkStart w:id="23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1"/>
    <w:bookmarkStart w:id="23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2"/>
    <w:bookmarkStart w:id="233"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3"/>
    <w:bookmarkStart w:id="234"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4"/>
    <w:bookmarkStart w:id="23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35"/>
    <w:bookmarkStart w:id="23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36"/>
    <w:bookmarkStart w:id="23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37"/>
    <w:bookmarkStart w:id="23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38"/>
    <w:bookmarkStart w:id="23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39"/>
    <w:bookmarkStart w:id="240"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0"/>
    <w:bookmarkStart w:id="241"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1"/>
    <w:bookmarkStart w:id="242"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2"/>
    <w:bookmarkStart w:id="24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3"/>
    <w:bookmarkStart w:id="24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2021-07-29T11:12:52Z</dcterms:created>
  <dcterms:modified xsi:type="dcterms:W3CDTF">2021-07-29T11:12:52Z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